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0" w:after="60" w:line="240" w:lineRule="auto"/>
        <w:jc w:val="left"/>
      </w:pPr>
      <w:r>
        <w:rPr>
          <w:rFonts w:ascii="Arial" w:hAnsi="Arial" w:eastAsia="Arial" w:cs="Arial"/>
          <w:b/>
          <w:color w:val="8B5A37"/>
          <w:sz w:val="17"/>
        </w:rPr>
        <w:t>КЛИЕНТСКАЯ ТАБЛИЦА</w:t>
      </w:r>
    </w:p>
    <w:p>
      <w:pPr>
        <w:spacing w:before="0" w:after="80" w:line="240" w:lineRule="auto"/>
        <w:jc w:val="left"/>
      </w:pPr>
      <w:r>
        <w:rPr>
          <w:rFonts w:ascii="Arial" w:hAnsi="Arial" w:eastAsia="Arial" w:cs="Arial"/>
          <w:b/>
          <w:color w:val="201A17"/>
          <w:sz w:val="42"/>
        </w:rPr>
        <w:t>Пакеты качества металлокаркаса TERRASOV</w:t>
      </w:r>
    </w:p>
    <w:p>
      <w:pPr>
        <w:spacing w:after="80"/>
        <w:pBdr>
          <w:bottom w:val="single" w:sz="18" w:space="1" w:color="8B5A37"/>
        </w:pBdr>
      </w:pPr>
    </w:p>
    <w:p>
      <w:pPr>
        <w:spacing w:before="0" w:after="100" w:line="240" w:lineRule="auto"/>
        <w:jc w:val="left"/>
      </w:pPr>
      <w:r>
        <w:rPr>
          <w:rFonts w:ascii="Arial" w:hAnsi="Arial" w:eastAsia="Arial" w:cs="Arial"/>
          <w:b w:val="0"/>
          <w:color w:val="6F6964"/>
          <w:sz w:val="21"/>
        </w:rPr>
        <w:t>Каркас под террасную доску • ECO / BASE / PRO / ARCHITECT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226"/>
      </w:tblGrid>
      <w:tr>
        <w:tc>
          <w:tcPr>
            <w:tcW w:type="dxa" w:w="15226"/>
            <w:shd w:fill="F5F1ED"/>
            <w:tcBorders>
              <w:top w:val="single" w:sz="4" w:space="0" w:color="D8CEC5"/>
              <w:left w:val="single" w:sz="4" w:space="0" w:color="D8CEC5"/>
              <w:bottom w:val="single" w:sz="4" w:space="0" w:color="D8CEC5"/>
              <w:right w:val="single" w:sz="4" w:space="0" w:color="D8CEC5"/>
              <w:insideH w:val="single" w:sz="4" w:space="0" w:color="D8CEC5"/>
              <w:insideV w:val="single" w:sz="4" w:space="0" w:color="D8CEC5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3C3029"/>
                <w:sz w:val="17"/>
              </w:rPr>
              <w:t>Одинаково для всех пакетов. Несущая способность, сечения и максимальный шаг элементов по проекту/требованиям террасной доски, устойчивость, качество силовых соединений, крепление к основанию и свободный водоотвод являются обязательными. BASE — базовый стандарт TERRASOV и применяется по умолчанию, если иной пакет прямо не указан в договоре. ECO применяется только при прямом выборе заказчика.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45"/>
        <w:gridCol w:w="3045"/>
        <w:gridCol w:w="3045"/>
        <w:gridCol w:w="3045"/>
        <w:gridCol w:w="3045"/>
      </w:tblGrid>
      <w:tr>
        <w:trPr>
          <w:tblHeader w:val="true"/>
          <w:cantSplit/>
        </w:trPr>
        <w:tc>
          <w:tcPr>
            <w:tcW w:type="dxa" w:w="3528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6E3F22"/>
            <w:tcMar>
              <w:top w:w="58" w:type="dxa"/>
              <w:start w:w="72" w:type="dxa"/>
              <w:bottom w:w="58" w:type="dxa"/>
              <w:end w:w="72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16"/>
                <w:color w:val="FFFFFF"/>
              </w:rPr>
              <w:t>Показатель</w:t>
            </w:r>
          </w:p>
        </w:tc>
        <w:tc>
          <w:tcPr>
            <w:tcW w:type="dxa" w:w="2951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6E3F22"/>
            <w:tcMar>
              <w:top w:w="58" w:type="dxa"/>
              <w:start w:w="72" w:type="dxa"/>
              <w:bottom w:w="58" w:type="dxa"/>
              <w:end w:w="72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16"/>
                <w:color w:val="FFFFFF"/>
              </w:rPr>
              <w:t>ECO</w:t>
            </w:r>
          </w:p>
        </w:tc>
        <w:tc>
          <w:tcPr>
            <w:tcW w:type="dxa" w:w="3139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8B5A36"/>
            <w:tcMar>
              <w:top w:w="58" w:type="dxa"/>
              <w:start w:w="72" w:type="dxa"/>
              <w:bottom w:w="58" w:type="dxa"/>
              <w:end w:w="72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16"/>
                <w:color w:val="FFFFFF"/>
              </w:rPr>
              <w:t>BASE — по умолчанию</w:t>
            </w:r>
          </w:p>
        </w:tc>
        <w:tc>
          <w:tcPr>
            <w:tcW w:type="dxa" w:w="302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6E3F22"/>
            <w:tcMar>
              <w:top w:w="58" w:type="dxa"/>
              <w:start w:w="72" w:type="dxa"/>
              <w:bottom w:w="58" w:type="dxa"/>
              <w:end w:w="72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16"/>
                <w:color w:val="FFFFFF"/>
              </w:rPr>
              <w:t>PRO</w:t>
            </w:r>
          </w:p>
        </w:tc>
        <w:tc>
          <w:tcPr>
            <w:tcW w:type="dxa" w:w="348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  <w:insideH w:val="single" w:sz="2" w:space="0" w:color="FFFFFF"/>
              <w:insideV w:val="single" w:sz="2" w:space="0" w:color="FFFFFF"/>
            </w:tcBorders>
            <w:shd w:fill="6E3F22"/>
            <w:tcMar>
              <w:top w:w="58" w:type="dxa"/>
              <w:start w:w="72" w:type="dxa"/>
              <w:bottom w:w="58" w:type="dxa"/>
              <w:end w:w="72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16"/>
                <w:color w:val="FFFFFF"/>
              </w:rPr>
              <w:t>ARCHITECT</w:t>
            </w:r>
          </w:p>
        </w:tc>
      </w:tr>
      <w:tr>
        <w:trPr>
          <w:cantSplit/>
        </w:trPr>
        <w:tc>
          <w:tcPr>
            <w:tcW w:type="dxa" w:w="3528"/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2EFEC"/>
            <w:tcMar>
              <w:top w:w="58" w:type="dxa"/>
              <w:start w:w="72" w:type="dxa"/>
              <w:bottom w:w="58" w:type="dxa"/>
              <w:end w:w="72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color w:val="2B211C"/>
                <w:sz w:val="14"/>
              </w:rPr>
              <w:t>Позиционирование</w:t>
            </w:r>
          </w:p>
        </w:tc>
        <w:tc>
          <w:tcPr>
            <w:tcW w:type="dxa" w:w="2951"/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  <w:tcMar>
              <w:top w:w="58" w:type="dxa"/>
              <w:start w:w="72" w:type="dxa"/>
              <w:bottom w:w="58" w:type="dxa"/>
              <w:end w:w="72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Экономичный функциональный каркас</w:t>
            </w:r>
          </w:p>
        </w:tc>
        <w:tc>
          <w:tcPr>
            <w:tcW w:type="dxa" w:w="3139"/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8F2EC"/>
            <w:tcMar>
              <w:top w:w="58" w:type="dxa"/>
              <w:start w:w="72" w:type="dxa"/>
              <w:bottom w:w="58" w:type="dxa"/>
              <w:end w:w="72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Базовый стандарт TERRASOV</w:t>
            </w:r>
          </w:p>
        </w:tc>
        <w:tc>
          <w:tcPr>
            <w:tcW w:type="dxa" w:w="3024"/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  <w:tcMar>
              <w:top w:w="58" w:type="dxa"/>
              <w:start w:w="72" w:type="dxa"/>
              <w:bottom w:w="58" w:type="dxa"/>
              <w:end w:w="72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Повышенная точность и защита</w:t>
            </w:r>
          </w:p>
        </w:tc>
        <w:tc>
          <w:tcPr>
            <w:tcW w:type="dxa" w:w="3484"/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  <w:tcMar>
              <w:top w:w="58" w:type="dxa"/>
              <w:start w:w="72" w:type="dxa"/>
              <w:bottom w:w="58" w:type="dxa"/>
              <w:end w:w="72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Максимальный ресурс и точность</w:t>
            </w:r>
          </w:p>
        </w:tc>
      </w:tr>
      <w:tr>
        <w:trPr>
          <w:cantSplit/>
        </w:trPr>
        <w:tc>
          <w:tcPr>
            <w:tcW w:type="dxa" w:w="3045"/>
            <w:tcBorders>
              <w:top w:val="single" w:sz="4" w:color="D7C7BA"/>
              <w:left w:val="single" w:sz="4" w:color="D7C7BA"/>
              <w:bottom w:val="single" w:sz="4" w:color="D7C7BA"/>
              <w:right w:val="single" w:sz="4" w:color="D7C7BA"/>
              <w:insideH w:val="single" w:sz="4" w:color="D7C7BA"/>
              <w:insideV w:val="single" w:sz="4" w:color="D7C7BA"/>
            </w:tcBorders>
            <w:shd w:fill="F6F0EB"/>
          </w:tcPr>
          <w:p>
            <w:pPr>
              <w:spacing w:before="0" w:after="0"/>
            </w:pPr>
            <w:r>
              <w:rPr>
                <w:b/>
                <w:sz w:val="14"/>
              </w:rPr>
              <w:t>Проект каркаса</w:t>
            </w:r>
          </w:p>
        </w:tc>
        <w:tc>
          <w:tcPr>
            <w:tcW w:type="dxa" w:w="3045"/>
            <w:tcBorders>
              <w:top w:val="single" w:sz="4" w:color="D7C7BA"/>
              <w:left w:val="single" w:sz="4" w:color="D7C7BA"/>
              <w:bottom w:val="single" w:sz="4" w:color="D7C7BA"/>
              <w:right w:val="single" w:sz="4" w:color="D7C7BA"/>
              <w:insideH w:val="single" w:sz="4" w:color="D7C7BA"/>
              <w:insideV w:val="single" w:sz="4" w:color="D7C7BA"/>
            </w:tcBorders>
            <w:shd w:fill="FFFFFF"/>
          </w:tcPr>
          <w:p>
            <w:pPr>
              <w:spacing w:before="0" w:after="0"/>
            </w:pPr>
            <w:r>
              <w:rPr>
                <w:b/>
                <w:sz w:val="14"/>
              </w:rPr>
              <w:t>Не включён; монтаж по согласованной схеме/ТЗ</w:t>
            </w:r>
          </w:p>
        </w:tc>
        <w:tc>
          <w:tcPr>
            <w:tcW w:type="dxa" w:w="3045"/>
            <w:tcBorders>
              <w:top w:val="single" w:sz="4" w:color="D7C7BA"/>
              <w:left w:val="single" w:sz="4" w:color="D7C7BA"/>
              <w:bottom w:val="single" w:sz="4" w:color="D7C7BA"/>
              <w:right w:val="single" w:sz="4" w:color="D7C7BA"/>
              <w:insideH w:val="single" w:sz="4" w:color="D7C7BA"/>
              <w:insideV w:val="single" w:sz="4" w:color="D7C7BA"/>
            </w:tcBorders>
            <w:shd w:fill="F6F0EB"/>
          </w:tcPr>
          <w:p>
            <w:pPr>
              <w:spacing w:before="0" w:after="0"/>
            </w:pPr>
            <w:r>
              <w:rPr>
                <w:b/>
                <w:sz w:val="14"/>
              </w:rPr>
              <w:t>Не обязателен; монтаж по согласованной схеме/ТЗ</w:t>
            </w:r>
          </w:p>
        </w:tc>
        <w:tc>
          <w:tcPr>
            <w:tcW w:type="dxa" w:w="3045"/>
            <w:tcBorders>
              <w:top w:val="single" w:sz="4" w:color="D7C7BA"/>
              <w:left w:val="single" w:sz="4" w:color="D7C7BA"/>
              <w:bottom w:val="single" w:sz="4" w:color="D7C7BA"/>
              <w:right w:val="single" w:sz="4" w:color="D7C7BA"/>
              <w:insideH w:val="single" w:sz="4" w:color="D7C7BA"/>
              <w:insideV w:val="single" w:sz="4" w:color="D7C7BA"/>
            </w:tcBorders>
            <w:shd w:fill="FFFFFF"/>
          </w:tcPr>
          <w:p>
            <w:pPr>
              <w:spacing w:before="0" w:after="0"/>
            </w:pPr>
            <w:r>
              <w:rPr>
                <w:b/>
                <w:sz w:val="14"/>
              </w:rPr>
              <w:t>Обязательный проект каркаса</w:t>
            </w:r>
          </w:p>
        </w:tc>
        <w:tc>
          <w:tcPr>
            <w:tcW w:type="dxa" w:w="3045"/>
            <w:tcBorders>
              <w:top w:val="single" w:sz="4" w:color="D7C7BA"/>
              <w:left w:val="single" w:sz="4" w:color="D7C7BA"/>
              <w:bottom w:val="single" w:sz="4" w:color="D7C7BA"/>
              <w:right w:val="single" w:sz="4" w:color="D7C7BA"/>
              <w:insideH w:val="single" w:sz="4" w:color="D7C7BA"/>
              <w:insideV w:val="single" w:sz="4" w:color="D7C7BA"/>
            </w:tcBorders>
            <w:shd w:fill="FFFFFF"/>
          </w:tcPr>
          <w:p>
            <w:pPr>
              <w:spacing w:before="0" w:after="0"/>
            </w:pPr>
            <w:r>
              <w:rPr>
                <w:b/>
                <w:sz w:val="14"/>
              </w:rPr>
              <w:t>Обязательный проект каркаса</w:t>
            </w:r>
          </w:p>
        </w:tc>
      </w:tr>
      <w:tr>
        <w:trPr>
          <w:cantSplit/>
        </w:trPr>
        <w:tc>
          <w:tcPr>
            <w:tcW w:type="dxa" w:w="3045"/>
            <w:tcBorders>
              <w:top w:val="single" w:sz="4" w:color="D7C7BA"/>
              <w:left w:val="single" w:sz="4" w:color="D7C7BA"/>
              <w:bottom w:val="single" w:sz="4" w:color="D7C7BA"/>
              <w:right w:val="single" w:sz="4" w:color="D7C7BA"/>
              <w:insideH w:val="single" w:sz="4" w:color="D7C7BA"/>
              <w:insideV w:val="single" w:sz="4" w:color="D7C7BA"/>
            </w:tcBorders>
            <w:shd w:fill="F6F0EB"/>
          </w:tcPr>
          <w:p>
            <w:pPr>
              <w:spacing w:before="0" w:after="0"/>
            </w:pPr>
            <w:r>
              <w:rPr>
                <w:b/>
                <w:sz w:val="14"/>
              </w:rPr>
              <w:t>Минимальная толщина стенки металла*</w:t>
            </w:r>
          </w:p>
        </w:tc>
        <w:tc>
          <w:tcPr>
            <w:tcW w:type="dxa" w:w="3045"/>
            <w:tcBorders>
              <w:top w:val="single" w:sz="4" w:color="D7C7BA"/>
              <w:left w:val="single" w:sz="4" w:color="D7C7BA"/>
              <w:bottom w:val="single" w:sz="4" w:color="D7C7BA"/>
              <w:right w:val="single" w:sz="4" w:color="D7C7BA"/>
              <w:insideH w:val="single" w:sz="4" w:color="D7C7BA"/>
              <w:insideV w:val="single" w:sz="4" w:color="D7C7BA"/>
            </w:tcBorders>
            <w:shd w:fill="FFFFFF"/>
          </w:tcPr>
          <w:p>
            <w:pPr>
              <w:spacing w:before="0" w:after="0"/>
            </w:pPr>
            <w:r>
              <w:rPr>
                <w:sz w:val="14"/>
              </w:rPr>
              <w:t>Не менее 2 мм</w:t>
            </w:r>
          </w:p>
        </w:tc>
        <w:tc>
          <w:tcPr>
            <w:tcW w:type="dxa" w:w="3045"/>
            <w:tcBorders>
              <w:top w:val="single" w:sz="4" w:color="D7C7BA"/>
              <w:left w:val="single" w:sz="4" w:color="D7C7BA"/>
              <w:bottom w:val="single" w:sz="4" w:color="D7C7BA"/>
              <w:right w:val="single" w:sz="4" w:color="D7C7BA"/>
              <w:insideH w:val="single" w:sz="4" w:color="D7C7BA"/>
              <w:insideV w:val="single" w:sz="4" w:color="D7C7BA"/>
            </w:tcBorders>
            <w:shd w:fill="F6F0EB"/>
          </w:tcPr>
          <w:p>
            <w:pPr>
              <w:spacing w:before="0" w:after="0"/>
            </w:pPr>
            <w:r>
              <w:rPr>
                <w:sz w:val="14"/>
              </w:rPr>
              <w:t>Не менее 2 мм</w:t>
            </w:r>
          </w:p>
        </w:tc>
        <w:tc>
          <w:tcPr>
            <w:tcW w:type="dxa" w:w="3045"/>
            <w:tcBorders>
              <w:top w:val="single" w:sz="4" w:color="D7C7BA"/>
              <w:left w:val="single" w:sz="4" w:color="D7C7BA"/>
              <w:bottom w:val="single" w:sz="4" w:color="D7C7BA"/>
              <w:right w:val="single" w:sz="4" w:color="D7C7BA"/>
              <w:insideH w:val="single" w:sz="4" w:color="D7C7BA"/>
              <w:insideV w:val="single" w:sz="4" w:color="D7C7BA"/>
            </w:tcBorders>
            <w:shd w:fill="FFFFFF"/>
          </w:tcPr>
          <w:p>
            <w:pPr>
              <w:spacing w:before="0" w:after="0"/>
            </w:pPr>
            <w:r>
              <w:rPr>
                <w:sz w:val="14"/>
              </w:rPr>
              <w:t>Не менее 3 мм</w:t>
            </w:r>
          </w:p>
        </w:tc>
        <w:tc>
          <w:tcPr>
            <w:tcW w:type="dxa" w:w="3045"/>
            <w:tcBorders>
              <w:top w:val="single" w:sz="4" w:color="D7C7BA"/>
              <w:left w:val="single" w:sz="4" w:color="D7C7BA"/>
              <w:bottom w:val="single" w:sz="4" w:color="D7C7BA"/>
              <w:right w:val="single" w:sz="4" w:color="D7C7BA"/>
              <w:insideH w:val="single" w:sz="4" w:color="D7C7BA"/>
              <w:insideV w:val="single" w:sz="4" w:color="D7C7BA"/>
            </w:tcBorders>
            <w:shd w:fill="FFFFFF"/>
          </w:tcPr>
          <w:p>
            <w:pPr>
              <w:spacing w:before="0" w:after="0"/>
            </w:pPr>
            <w:r>
              <w:rPr>
                <w:sz w:val="14"/>
              </w:rPr>
              <w:t>Не менее 3 мм</w:t>
            </w:r>
          </w:p>
        </w:tc>
      </w:tr>
      <w:tr>
        <w:trPr>
          <w:cantSplit/>
        </w:trPr>
        <w:tc>
          <w:tcPr>
            <w:tcW w:type="dxa" w:w="3528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2EFE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color w:val="2B211C"/>
                <w:sz w:val="14"/>
              </w:rPr>
              <w:t>Плоскость верхних граней лаг*</w:t>
            </w:r>
          </w:p>
        </w:tc>
        <w:tc>
          <w:tcPr>
            <w:tcW w:type="dxa" w:w="2951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4 мм под рейкой 2 м</w:t>
            </w:r>
          </w:p>
        </w:tc>
        <w:tc>
          <w:tcPr>
            <w:tcW w:type="dxa" w:w="3139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8F2E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3 мм под рейкой 2 м</w:t>
            </w:r>
          </w:p>
        </w:tc>
        <w:tc>
          <w:tcPr>
            <w:tcW w:type="dxa" w:w="302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2 мм под рейкой 2 м</w:t>
            </w:r>
          </w:p>
        </w:tc>
        <w:tc>
          <w:tcPr>
            <w:tcW w:type="dxa" w:w="348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1 мм под рейкой 2 м</w:t>
            </w:r>
          </w:p>
        </w:tc>
      </w:tr>
      <w:tr>
        <w:trPr>
          <w:cantSplit/>
        </w:trPr>
        <w:tc>
          <w:tcPr>
            <w:tcW w:type="dxa" w:w="3528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2EFEC"/>
          </w:tcPr>
          <w:p>
            <w:pPr>
              <w:spacing w:after="0" w:before="0"/>
            </w:pPr>
            <w:r>
              <w:rPr>
                <w:rFonts w:ascii="Arial" w:hAnsi="Arial" w:eastAsia="Arial"/>
                <w:b/>
                <w:sz w:val="14"/>
              </w:rPr>
              <w:t>Перепад соседних лаг*</w:t>
            </w:r>
          </w:p>
        </w:tc>
        <w:tc>
          <w:tcPr>
            <w:tcW w:type="dxa" w:w="2951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3 мм</w:t>
            </w:r>
          </w:p>
        </w:tc>
        <w:tc>
          <w:tcPr>
            <w:tcW w:type="dxa" w:w="3139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8F2E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2 мм</w:t>
            </w:r>
          </w:p>
        </w:tc>
        <w:tc>
          <w:tcPr>
            <w:tcW w:type="dxa" w:w="302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1,5 мм</w:t>
            </w:r>
          </w:p>
        </w:tc>
        <w:tc>
          <w:tcPr>
            <w:tcW w:type="dxa" w:w="348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1 мм</w:t>
            </w:r>
          </w:p>
        </w:tc>
      </w:tr>
      <w:tr>
        <w:trPr>
          <w:cantSplit/>
        </w:trPr>
        <w:tc>
          <w:tcPr>
            <w:tcW w:type="dxa" w:w="3528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2EFE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color w:val="2B211C"/>
                <w:sz w:val="14"/>
              </w:rPr>
              <w:t>Прямолинейность рядов лаг*</w:t>
            </w:r>
          </w:p>
        </w:tc>
        <w:tc>
          <w:tcPr>
            <w:tcW w:type="dxa" w:w="2951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6 мм на 2 м</w:t>
            </w:r>
          </w:p>
        </w:tc>
        <w:tc>
          <w:tcPr>
            <w:tcW w:type="dxa" w:w="3139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8F2E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4 мм на 2 м</w:t>
            </w:r>
          </w:p>
        </w:tc>
        <w:tc>
          <w:tcPr>
            <w:tcW w:type="dxa" w:w="302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2 мм на 2 м</w:t>
            </w:r>
          </w:p>
        </w:tc>
        <w:tc>
          <w:tcPr>
            <w:tcW w:type="dxa" w:w="348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≤ 1 мм на 2 м</w:t>
            </w:r>
          </w:p>
        </w:tc>
      </w:tr>
      <w:tr>
        <w:trPr>
          <w:cantSplit/>
        </w:trPr>
        <w:tc>
          <w:tcPr>
            <w:tcW w:type="dxa" w:w="3528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2EFEC"/>
          </w:tcPr>
          <w:p>
            <w:pPr>
              <w:spacing w:after="0" w:before="0"/>
            </w:pPr>
            <w:r>
              <w:rPr>
                <w:rFonts w:ascii="Arial" w:hAnsi="Arial" w:eastAsia="Arial"/>
                <w:b/>
                <w:sz w:val="14"/>
              </w:rPr>
              <w:t>Сварные соединения</w:t>
            </w:r>
          </w:p>
        </w:tc>
        <w:tc>
          <w:tcPr>
            <w:tcW w:type="dxa" w:w="2951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after="0" w:before="0"/>
            </w:pPr>
            <w:r>
              <w:rPr>
                <w:rFonts w:ascii="Arial" w:hAnsi="Arial" w:eastAsia="Arial"/>
                <w:sz w:val="14"/>
              </w:rPr>
              <w:t>Конструктивное исполнение; зачищаются только опасные и мешающие наплывы</w:t>
            </w:r>
          </w:p>
        </w:tc>
        <w:tc>
          <w:tcPr>
            <w:tcW w:type="dxa" w:w="3139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8F2EC"/>
          </w:tcPr>
          <w:p>
            <w:pPr>
              <w:spacing w:after="0" w:before="0"/>
            </w:pPr>
            <w:r>
              <w:rPr>
                <w:rFonts w:ascii="Arial" w:hAnsi="Arial" w:eastAsia="Arial"/>
                <w:sz w:val="14"/>
              </w:rPr>
              <w:t>Конструктивное исполнение; удаляются острые кромки и выраженные наплывы</w:t>
            </w:r>
          </w:p>
        </w:tc>
        <w:tc>
          <w:tcPr>
            <w:tcW w:type="dxa" w:w="302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after="0" w:before="0"/>
            </w:pPr>
            <w:r>
              <w:rPr>
                <w:rFonts w:ascii="Arial" w:hAnsi="Arial" w:eastAsia="Arial"/>
                <w:sz w:val="14"/>
              </w:rPr>
              <w:t>Дополнительная зачистка доступных сварных узлов</w:t>
            </w:r>
          </w:p>
        </w:tc>
        <w:tc>
          <w:tcPr>
            <w:tcW w:type="dxa" w:w="348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after="0" w:before="0"/>
            </w:pPr>
            <w:r>
              <w:rPr>
                <w:rFonts w:ascii="Arial" w:hAnsi="Arial" w:eastAsia="Arial"/>
                <w:sz w:val="14"/>
              </w:rPr>
              <w:t>Максимально аккуратная подготовка сварных узлов перед защитным покрытием</w:t>
            </w:r>
          </w:p>
        </w:tc>
      </w:tr>
      <w:tr>
        <w:trPr>
          <w:cantSplit/>
        </w:trPr>
        <w:tc>
          <w:tcPr>
            <w:tcW w:type="dxa" w:w="3528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2EFE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color w:val="2B211C"/>
                <w:sz w:val="14"/>
              </w:rPr>
              <w:t>Антикоррозионная защита</w:t>
            </w:r>
          </w:p>
        </w:tc>
        <w:tc>
          <w:tcPr>
            <w:tcW w:type="dxa" w:w="2951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Сплошная обработка не входит. Допускается только если проектом она не обязательна</w:t>
            </w:r>
          </w:p>
        </w:tc>
        <w:tc>
          <w:tcPr>
            <w:tcW w:type="dxa" w:w="3139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8F2E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Сплошная грунт-эмаль по ржавчине на доступных поверхностях; восстановление покрытия после сварки и монтажа</w:t>
            </w:r>
          </w:p>
        </w:tc>
        <w:tc>
          <w:tcPr>
            <w:tcW w:type="dxa" w:w="302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Механическая подготовка и обезжиривание + грунт-эмаль по ржавчине по регламенту производителя; контроль непрокрасов и подкраска</w:t>
            </w:r>
          </w:p>
        </w:tc>
        <w:tc>
          <w:tcPr>
            <w:tcW w:type="dxa" w:w="348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Горячее цинкование элементов по проекту; повреждения и зоны сварки восстанавливаются цинконаполненным составом</w:t>
            </w:r>
          </w:p>
        </w:tc>
      </w:tr>
      <w:tr>
        <w:trPr>
          <w:cantSplit/>
        </w:trPr>
        <w:tc>
          <w:tcPr>
            <w:tcW w:type="dxa" w:w="3528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2EFEC"/>
          </w:tcPr>
          <w:p>
            <w:pPr>
              <w:spacing w:after="0" w:before="0"/>
            </w:pPr>
            <w:r>
              <w:rPr>
                <w:rFonts w:ascii="Arial" w:hAnsi="Arial" w:eastAsia="Arial"/>
                <w:b/>
                <w:sz w:val="14"/>
              </w:rPr>
              <w:t>Ожидаемый срок службы каркаса**</w:t>
            </w:r>
          </w:p>
        </w:tc>
        <w:tc>
          <w:tcPr>
            <w:tcW w:type="dxa" w:w="2951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after="0" w:before="0"/>
            </w:pPr>
            <w:r>
              <w:rPr>
                <w:rFonts w:ascii="Arial" w:hAnsi="Arial" w:eastAsia="Arial"/>
                <w:sz w:val="14"/>
              </w:rPr>
              <w:t>8–12 лет</w:t>
            </w:r>
          </w:p>
        </w:tc>
        <w:tc>
          <w:tcPr>
            <w:tcW w:type="dxa" w:w="3139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8F2EC"/>
          </w:tcPr>
          <w:p>
            <w:pPr>
              <w:spacing w:after="0" w:before="0"/>
            </w:pPr>
            <w:r>
              <w:rPr>
                <w:rFonts w:ascii="Arial" w:hAnsi="Arial" w:eastAsia="Arial"/>
                <w:sz w:val="14"/>
              </w:rPr>
              <w:t>15–20 лет</w:t>
            </w:r>
          </w:p>
        </w:tc>
        <w:tc>
          <w:tcPr>
            <w:tcW w:type="dxa" w:w="302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after="0" w:before="0"/>
            </w:pPr>
            <w:r>
              <w:rPr>
                <w:rFonts w:ascii="Arial" w:hAnsi="Arial" w:eastAsia="Arial"/>
                <w:sz w:val="14"/>
              </w:rPr>
              <w:t>20–30 лет</w:t>
            </w:r>
          </w:p>
        </w:tc>
        <w:tc>
          <w:tcPr>
            <w:tcW w:type="dxa" w:w="348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after="0" w:before="0"/>
            </w:pPr>
            <w:r>
              <w:rPr>
                <w:rFonts w:ascii="Arial" w:hAnsi="Arial" w:eastAsia="Arial"/>
                <w:sz w:val="14"/>
              </w:rPr>
              <w:t>30–50 лет</w:t>
            </w:r>
          </w:p>
        </w:tc>
      </w:tr>
      <w:tr>
        <w:trPr>
          <w:cantSplit/>
        </w:trPr>
        <w:tc>
          <w:tcPr>
            <w:tcW w:type="dxa" w:w="3528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2EFE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color w:val="2B211C"/>
                <w:sz w:val="14"/>
              </w:rPr>
              <w:t>Контроль геометрии</w:t>
            </w:r>
          </w:p>
        </w:tc>
        <w:tc>
          <w:tcPr>
            <w:tcW w:type="dxa" w:w="2951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Итоговая проверка основных зон</w:t>
            </w:r>
          </w:p>
        </w:tc>
        <w:tc>
          <w:tcPr>
            <w:tcW w:type="dxa" w:w="3139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8F2E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Проверка плоскости, ключевых узлов и шага лаг</w:t>
            </w:r>
          </w:p>
        </w:tc>
        <w:tc>
          <w:tcPr>
            <w:tcW w:type="dxa" w:w="302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Пооперационный контроль геометрии и фото ключевых этапов</w:t>
            </w:r>
          </w:p>
        </w:tc>
        <w:tc>
          <w:tcPr>
            <w:tcW w:type="dxa" w:w="348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Усиленный пооперационный контроль + исполнительная фиксация</w:t>
            </w:r>
          </w:p>
        </w:tc>
      </w:tr>
      <w:tr>
        <w:trPr>
          <w:cantSplit/>
        </w:trPr>
        <w:tc>
          <w:tcPr>
            <w:tcW w:type="dxa" w:w="3528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2EFE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/>
                <w:color w:val="2B211C"/>
                <w:sz w:val="14"/>
              </w:rPr>
              <w:t>Внешний вид скрытого каркаса</w:t>
            </w:r>
          </w:p>
        </w:tc>
        <w:tc>
          <w:tcPr>
            <w:tcW w:type="dxa" w:w="2951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Не нормируется, кроме безопасности и пригодности под настил</w:t>
            </w:r>
          </w:p>
        </w:tc>
        <w:tc>
          <w:tcPr>
            <w:tcW w:type="dxa" w:w="3139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8F2EC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Технологически аккуратный</w:t>
            </w:r>
          </w:p>
        </w:tc>
        <w:tc>
          <w:tcPr>
            <w:tcW w:type="dxa" w:w="302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Повышенная аккуратность доступных зон</w:t>
            </w:r>
          </w:p>
        </w:tc>
        <w:tc>
          <w:tcPr>
            <w:tcW w:type="dxa" w:w="3484"/>
            <w:vAlign w:val="center"/>
            <w:tcMar>
              <w:top w:w="58" w:type="dxa"/>
              <w:start w:w="72" w:type="dxa"/>
              <w:bottom w:w="58" w:type="dxa"/>
              <w:end w:w="72" w:type="dxa"/>
            </w:tcMar>
            <w:tcBorders>
              <w:top w:val="single" w:sz="4" w:space="0" w:color="D7C7BA"/>
              <w:left w:val="single" w:sz="4" w:space="0" w:color="D7C7BA"/>
              <w:bottom w:val="single" w:sz="4" w:space="0" w:color="D7C7BA"/>
              <w:right w:val="single" w:sz="4" w:space="0" w:color="D7C7BA"/>
              <w:insideH w:val="single" w:sz="4" w:space="0" w:color="D7C7BA"/>
              <w:insideV w:val="single" w:sz="4" w:space="0" w:color="D7C7BA"/>
            </w:tcBorders>
            <w:shd w:fill="FFFFFF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 w:cs="Arial"/>
                <w:b w:val="0"/>
                <w:color w:val="2B211C"/>
                <w:sz w:val="14"/>
              </w:rPr>
              <w:t>Максимально аккуратное исполнение и защита</w:t>
            </w:r>
          </w:p>
        </w:tc>
      </w:tr>
    </w:tbl>
    <w:p>
      <w:pPr>
        <w:spacing w:before="60" w:after="60" w:line="240" w:lineRule="auto"/>
        <w:jc w:val="left"/>
      </w:pPr>
      <w:r>
        <w:rPr>
          <w:sz w:val="14"/>
        </w:rPr>
        <w:t>* Допуски относятся к геометрии верхних граней металлических лаг до монтажа террасной доски и проверяются на готовом закреплённом каркасе. Указанная толщина стенки металла является минимальной для пакета; проект или расчёт может требовать большей толщины и/или сечения. Начиная с PRO проект каркаса обязателен. Требования проекта, расчёта и инструкции производителя доски имеют приоритет. Для ECO отсутствие сплошной антикоррозионной обработки является особенностью выбранного пакета и не применяется там, где защитное покрытие обязательно по проекту или условиям эксплуатации.</w:t>
        <w:br/>
        <w:t>** Срок службы указан ориентировочно и не является гарантийным сроком. Оценка предполагает наружную эксплуатацию без постоянного контакта с водой, дорожными солями и химически агрессивной средой. Фактический ресурс зависит от толщины и марки стали, влажности, водоотведения, качества сварки и антикоррозионной обработки, повреждений покрытия и условий обслуживания.</w:t>
      </w:r>
    </w:p>
    <w:p>
      <w:pPr>
        <w:spacing w:before="20" w:after="0" w:line="240" w:lineRule="auto"/>
        <w:jc w:val="center"/>
      </w:pPr>
      <w:r>
        <w:rPr>
          <w:rFonts w:ascii="Arial" w:hAnsi="Arial" w:eastAsia="Arial" w:cs="Arial"/>
          <w:b/>
          <w:color w:val="6E3F24"/>
          <w:sz w:val="18"/>
        </w:rPr>
        <w:t>Выбранный пакет:   ☐ ECO     ☒ BASE — по умолчанию     ☐ PRO     ☐ ARCHITECT</w:t>
      </w:r>
    </w:p>
    <w:sectPr w:rsidR="006F3BC7" w:rsidSect="00034616">
      <w:headerReference w:type="default" r:id="rId8"/>
      <w:footerReference w:type="default" r:id="rId9"/>
      <w:pgSz w:w="16838" w:h="11906" w:orient="landscape"/>
      <w:pgMar w:top="1354" w:right="806" w:bottom="662" w:left="806" w:header="202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5AA7F" w14:textId="77777777" w:rsidR="006538ED" w:rsidRDefault="006538ED">
      <w:pPr>
        <w:spacing w:after="0" w:line="240" w:lineRule="auto"/>
      </w:pPr>
      <w:r>
        <w:separator/>
      </w:r>
    </w:p>
  </w:endnote>
  <w:endnote w:type="continuationSeparator" w:id="0">
    <w:p w14:paraId="29C64ABB" w14:textId="77777777" w:rsidR="006538ED" w:rsidRDefault="0065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7FD7" w14:textId="77777777" w:rsidR="006F3BC7" w:rsidRDefault="00000000">
    <w:pPr>
      <w:pStyle w:val="a7"/>
      <w:spacing w:before="0" w:after="0" w:line="240" w:lineRule="auto"/>
      <w:jc w:val="center"/>
    </w:pPr>
    <w:r>
      <w:rPr>
        <w:rFonts w:ascii="Arial" w:hAnsi="Arial" w:eastAsia="Arial" w:cs="Arial"/>
        <w:b w:val="0"/>
        <w:color w:val="7A746E"/>
        <w:sz w:val="15"/>
      </w:rPr>
      <w:t>TRS-FRAME-01 • стр.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E7596" w14:textId="77777777" w:rsidR="006538ED" w:rsidRDefault="006538ED">
      <w:pPr>
        <w:spacing w:after="0" w:line="240" w:lineRule="auto"/>
      </w:pPr>
      <w:r>
        <w:separator/>
      </w:r>
    </w:p>
  </w:footnote>
  <w:footnote w:type="continuationSeparator" w:id="0">
    <w:p w14:paraId="04ABAF2F" w14:textId="77777777" w:rsidR="006538ED" w:rsidRDefault="0065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type="dxa" w:w="15226"/>
      <w:tblLayout w:type="fixed"/>
      <w:tblLook w:firstColumn="1" w:firstRow="1" w:lastColumn="0" w:lastRow="0" w:noHBand="0" w:noVBand="1" w:val="04A0"/>
      <w:tblInd w:w="0" w:type="dxa"/>
    </w:tblPr>
    <w:tblGrid>
      <w:gridCol w:w="5256"/>
      <w:gridCol w:w="9970"/>
    </w:tblGrid>
    <w:tr>
      <w:tc>
        <w:tcPr>
          <w:tcW w:type="dxa" w:w="5256"/>
          <w:tcBorders>
            <w:top w:val="nil"/>
            <w:start w:val="nil"/>
            <w:bottom w:val="nil"/>
            <w:end w:val="nil"/>
            <w:insideH w:val="nil"/>
            <w:insideV w:val="nil"/>
          </w:tcBorders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before="0"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3127248" cy="56504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faca0e2-904f-4c89-b4e8-86fe875d0009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7248" cy="56504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970"/>
          <w:tcBorders>
            <w:top w:val="nil"/>
            <w:start w:val="nil"/>
            <w:bottom w:val="nil"/>
            <w:end w:val="nil"/>
            <w:insideH w:val="nil"/>
            <w:insideV w:val="nil"/>
          </w:tcBorders>
          <w:tcMar>
            <w:top w:w="0" w:type="dxa"/>
            <w:start w:w="0" w:type="dxa"/>
            <w:bottom w:w="0" w:type="dxa"/>
            <w:end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eastAsia="Arial" w:cs="Arial"/>
              <w:b/>
              <w:color w:val="8B5A37"/>
              <w:sz w:val="15"/>
            </w:rPr>
            <w:t>TERRASOV | TRS-FRAME-01 | редакция 1.2 от 24.08.2026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5774035">
    <w:abstractNumId w:val="8"/>
  </w:num>
  <w:num w:numId="2" w16cid:durableId="753284788">
    <w:abstractNumId w:val="6"/>
  </w:num>
  <w:num w:numId="3" w16cid:durableId="560793284">
    <w:abstractNumId w:val="5"/>
  </w:num>
  <w:num w:numId="4" w16cid:durableId="1916671765">
    <w:abstractNumId w:val="4"/>
  </w:num>
  <w:num w:numId="5" w16cid:durableId="1082023361">
    <w:abstractNumId w:val="7"/>
  </w:num>
  <w:num w:numId="6" w16cid:durableId="1740446178">
    <w:abstractNumId w:val="3"/>
  </w:num>
  <w:num w:numId="7" w16cid:durableId="1664359225">
    <w:abstractNumId w:val="2"/>
  </w:num>
  <w:num w:numId="8" w16cid:durableId="2110006731">
    <w:abstractNumId w:val="1"/>
  </w:num>
  <w:num w:numId="9" w16cid:durableId="2035880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F5F"/>
    <w:rsid w:val="0015074B"/>
    <w:rsid w:val="0029639D"/>
    <w:rsid w:val="00326F90"/>
    <w:rsid w:val="003E2867"/>
    <w:rsid w:val="006538ED"/>
    <w:rsid w:val="006F3BC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B4035E"/>
  <w14:defaultImageDpi w14:val="300"/>
  <w15:docId w15:val="{0A4E4B67-6633-4179-9DE1-C03A2067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52" w:lineRule="auto"/>
    </w:pPr>
    <w:rPr>
      <w:rFonts w:ascii="Arial" w:hAnsi="Arial" w:eastAsia="Arial"/>
      <w:color w:val="1F1B18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color w:val="17324D"/>
      <w:sz w:val="31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/>
      <w:b/>
      <w:bCs/>
      <w:color w:val="197E78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/>
      <w:b/>
      <w:bCs/>
      <w:color w:val="17324D"/>
      <w:sz w:val="2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/>
      <w:contextualSpacing/>
    </w:pPr>
    <w:rPr>
      <w:rFonts w:asciiTheme="majorHAnsi" w:eastAsiaTheme="majorEastAsia" w:hAnsiTheme="majorHAnsi" w:cstheme="majorBidi"/>
      <w:b/>
      <w:color w:val="17324D"/>
      <w:spacing w:val="5"/>
      <w:kern w:val="28"/>
      <w:sz w:val="50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keepNext/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5D6871"/>
      <w:spacing w:val="15"/>
      <w:sz w:val="23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40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40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Пакеты качества металлокаркаса TERRASOV под террасную доску</dc:title>
  <dc:subject>ECO / BASE / PRO / ARCHITECT</dc:subject>
  <dc:creator>TERRASOV</dc:creator>
  <cp:keywords/>
  <dc:description>generated by python-docx</dc:description>
  <cp:lastModifiedBy>Станислав Гурьев</cp:lastModifiedBy>
  <cp:revision>2</cp:revision>
  <dcterms:created xsi:type="dcterms:W3CDTF">2013-12-23T23:15:00Z</dcterms:created>
  <dcterms:modified xsi:type="dcterms:W3CDTF">2026-08-24T14:17:00Z</dcterms:modified>
  <cp:category/>
</cp:coreProperties>
</file>